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B8" w:rsidRPr="00DB4D8E" w:rsidRDefault="009967B8" w:rsidP="000A26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B4D8E">
        <w:rPr>
          <w:rFonts w:ascii="Times New Roman" w:hAnsi="Times New Roman" w:cs="Times New Roman"/>
          <w:b/>
          <w:sz w:val="32"/>
          <w:szCs w:val="32"/>
          <w:u w:val="single"/>
        </w:rPr>
        <w:t>КРЕДИТНАЯ КАРТА</w:t>
      </w:r>
    </w:p>
    <w:p w:rsidR="00781A88" w:rsidRDefault="009967B8" w:rsidP="0084737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EFB">
        <w:rPr>
          <w:rFonts w:ascii="Times New Roman" w:hAnsi="Times New Roman" w:cs="Times New Roman"/>
          <w:b/>
          <w:sz w:val="24"/>
          <w:szCs w:val="24"/>
        </w:rPr>
        <w:t>Кредитная карта</w:t>
      </w:r>
      <w:r>
        <w:rPr>
          <w:rFonts w:ascii="Times New Roman" w:hAnsi="Times New Roman" w:cs="Times New Roman"/>
          <w:sz w:val="24"/>
          <w:szCs w:val="24"/>
        </w:rPr>
        <w:t xml:space="preserve"> – это банковская карта, привязанная к счету, средства на котором предоставлены банком взаймы в пределах суммы кредитного лимита, установленного договором.</w:t>
      </w:r>
    </w:p>
    <w:p w:rsidR="00781A88" w:rsidRPr="00781A88" w:rsidRDefault="00781A88" w:rsidP="00781A88">
      <w:pPr>
        <w:shd w:val="clear" w:color="auto" w:fill="FFFFFF"/>
        <w:spacing w:before="300" w:after="150" w:line="525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выглядит банковская карта?</w:t>
      </w:r>
    </w:p>
    <w:p w:rsidR="009E4A38" w:rsidRDefault="00781A88" w:rsidP="00781A8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2500" cy="4095750"/>
            <wp:effectExtent l="19050" t="0" r="0" b="0"/>
            <wp:docPr id="1" name="Рисунок 1" descr="описание кредитной 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 кредитной кар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88" w:rsidRDefault="00781A88" w:rsidP="00847372">
      <w:pPr>
        <w:shd w:val="clear" w:color="auto" w:fill="FFFFFF"/>
        <w:spacing w:after="18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 карта представляет собой пластиковый прямоугольник размером 86*54*0,76 мм. Интересно, что изначально карточки </w:t>
      </w:r>
      <w:r w:rsidRPr="00A20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картонными, затем</w:t>
      </w:r>
      <w:r w:rsidRPr="009E4A38"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  <w:lang w:eastAsia="ru-RU"/>
        </w:rPr>
        <w:t xml:space="preserve"> </w:t>
      </w:r>
      <w:r w:rsidRPr="00A20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металлическими</w:t>
      </w:r>
      <w:r w:rsidRPr="0078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только потом их стали делать из пластмассы.</w:t>
      </w:r>
      <w:r w:rsidR="00C5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изготовлении на </w:t>
      </w:r>
      <w:r w:rsidRPr="0078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поверхность карты наносят защитные элементы. На лицевой стороне это логотип платежной системы, голограмма, номер карты </w:t>
      </w:r>
      <w:hyperlink r:id="rId6" w:history="1">
        <w:r w:rsidRPr="004241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(не путайте с номером счета)</w:t>
        </w:r>
      </w:hyperlink>
      <w:r w:rsidRPr="0078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8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банка, чип, имя владельца, </w:t>
      </w:r>
      <w:hyperlink r:id="rId7" w:history="1">
        <w:r w:rsidRPr="00110D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срок действия карты</w:t>
        </w:r>
      </w:hyperlink>
      <w:r w:rsidRPr="0078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 На обороте можно выделить две важные составляющие – магнитную полосу и код безопасности. Но не все это в обязательном порядке будет на карте – к примеру, на ней может отсутствовать имя владельца или чип</w:t>
      </w:r>
      <w:r w:rsidR="0028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3698" w:rsidRPr="0078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0872" w:rsidRDefault="007B4780" w:rsidP="00847372">
      <w:pPr>
        <w:shd w:val="clear" w:color="auto" w:fill="FFFFFF"/>
        <w:spacing w:after="18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средствами на карте лучше в льготный период, так как в период этого времени банк </w:t>
      </w:r>
      <w:r w:rsidR="00B0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ожет позволить использовать заемные средства бесплатно. Если в этот период держатель карты полностью вернет потраченную сумму, то проценты на нее начисляться не будут. </w:t>
      </w:r>
      <w:r w:rsidR="00C1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льготного периода следует внимательно изучить условия льготного периода:</w:t>
      </w:r>
    </w:p>
    <w:p w:rsidR="00C10872" w:rsidRDefault="00C10872" w:rsidP="00FE4087">
      <w:pPr>
        <w:shd w:val="clear" w:color="auto" w:fill="FFFFFF"/>
        <w:spacing w:after="18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срок действия (с какого момента начинается, когда заканчивается, меняется или нет в течение действия договора);</w:t>
      </w:r>
    </w:p>
    <w:p w:rsidR="00781A88" w:rsidRDefault="00C10872" w:rsidP="00FE4087">
      <w:pPr>
        <w:shd w:val="clear" w:color="auto" w:fill="FFFFFF"/>
        <w:spacing w:after="18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операций, на которые он распространяется. </w:t>
      </w:r>
    </w:p>
    <w:p w:rsidR="00781A88" w:rsidRDefault="00781A88" w:rsidP="00FE4087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29">
        <w:rPr>
          <w:rFonts w:ascii="Times New Roman" w:hAnsi="Times New Roman" w:cs="Times New Roman"/>
          <w:sz w:val="24"/>
          <w:szCs w:val="24"/>
        </w:rPr>
        <w:tab/>
      </w:r>
      <w:r w:rsidRPr="00091C79">
        <w:rPr>
          <w:rFonts w:ascii="Times New Roman" w:hAnsi="Times New Roman" w:cs="Times New Roman"/>
          <w:b/>
          <w:sz w:val="24"/>
          <w:szCs w:val="24"/>
        </w:rPr>
        <w:t>Льготный кредит погашения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grace</w:t>
      </w:r>
      <w:r w:rsidRPr="0078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hAnsi="Times New Roman" w:cs="Times New Roman"/>
          <w:sz w:val="24"/>
          <w:szCs w:val="24"/>
        </w:rPr>
        <w:t>) – это срок, в течение которого банк дает возможность использовать заемные средства с карты бесплатно.</w:t>
      </w:r>
      <w:r w:rsidR="007D0829">
        <w:rPr>
          <w:rFonts w:ascii="Times New Roman" w:hAnsi="Times New Roman" w:cs="Times New Roman"/>
          <w:sz w:val="24"/>
          <w:szCs w:val="24"/>
        </w:rPr>
        <w:t xml:space="preserve"> Если пользоваться кредитными средствами на карте за пределами льготного периода, то относиться к этому следует, как к потребительскому кредиту. При выборе кредитной карты следует сравнить условия с условиями потребительского кредита. </w:t>
      </w:r>
    </w:p>
    <w:p w:rsidR="00BF492B" w:rsidRDefault="00BF492B" w:rsidP="00FE4087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многих банках льготный период не действует в отношении операций по снятию наличных в банкомате и переводов на другие счета: такие операции расцениваются как кредит, и на них начисляются проценты до даты полного погашения долга по карте. </w:t>
      </w:r>
    </w:p>
    <w:p w:rsidR="00781A88" w:rsidRPr="00434FB7" w:rsidRDefault="007C7B04" w:rsidP="00FE4087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по кредитной карте необходимо вносить </w:t>
      </w:r>
      <w:r w:rsidRPr="007C7B04">
        <w:rPr>
          <w:rFonts w:ascii="Times New Roman" w:hAnsi="Times New Roman" w:cs="Times New Roman"/>
          <w:b/>
          <w:sz w:val="24"/>
          <w:szCs w:val="24"/>
        </w:rPr>
        <w:t xml:space="preserve">ежемесячный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(минимальный) </w:t>
      </w:r>
      <w:r w:rsidRPr="007C7B04">
        <w:rPr>
          <w:rFonts w:ascii="Times New Roman" w:hAnsi="Times New Roman" w:cs="Times New Roman"/>
          <w:b/>
          <w:sz w:val="24"/>
          <w:szCs w:val="24"/>
        </w:rPr>
        <w:t>платеж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Иначе</w:t>
      </w:r>
      <w:r w:rsidR="00CC03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166">
        <w:rPr>
          <w:rFonts w:ascii="Times New Roman" w:hAnsi="Times New Roman" w:cs="Times New Roman"/>
          <w:sz w:val="24"/>
          <w:szCs w:val="24"/>
        </w:rPr>
        <w:t>кроме процентов</w:t>
      </w:r>
      <w:r w:rsidR="00740166" w:rsidRPr="00740166">
        <w:rPr>
          <w:rFonts w:ascii="Times New Roman" w:hAnsi="Times New Roman" w:cs="Times New Roman"/>
          <w:sz w:val="24"/>
          <w:szCs w:val="24"/>
        </w:rPr>
        <w:t xml:space="preserve"> </w:t>
      </w:r>
      <w:r w:rsidRPr="00740166">
        <w:rPr>
          <w:rFonts w:ascii="Times New Roman" w:hAnsi="Times New Roman" w:cs="Times New Roman"/>
          <w:sz w:val="24"/>
          <w:szCs w:val="24"/>
        </w:rPr>
        <w:t>на непогашенную сумму кредита по карте будут начислены дополнительные штрафы или пени</w:t>
      </w:r>
      <w:r w:rsidR="00740166" w:rsidRPr="00740166">
        <w:rPr>
          <w:rFonts w:ascii="Times New Roman" w:hAnsi="Times New Roman" w:cs="Times New Roman"/>
          <w:sz w:val="24"/>
          <w:szCs w:val="24"/>
        </w:rPr>
        <w:t>.</w:t>
      </w:r>
      <w:r w:rsidR="008F3CA7">
        <w:rPr>
          <w:rFonts w:ascii="Times New Roman" w:hAnsi="Times New Roman" w:cs="Times New Roman"/>
          <w:sz w:val="24"/>
          <w:szCs w:val="24"/>
        </w:rPr>
        <w:t xml:space="preserve"> Некоторые банки </w:t>
      </w:r>
      <w:r w:rsidR="008F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привязывают к кредитной карте </w:t>
      </w:r>
      <w:r w:rsidR="00781A88" w:rsidRPr="00434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дополнительные «плюшки»: скидки, </w:t>
      </w:r>
      <w:r w:rsidR="00AB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proofErr w:type="spellStart"/>
        <w:r w:rsidR="00781A88" w:rsidRPr="00AB37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кобрендинговые</w:t>
        </w:r>
        <w:proofErr w:type="spellEnd"/>
        <w:r w:rsidR="00781A88" w:rsidRPr="00AB37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781A88" w:rsidRPr="00AB37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="00781A88" w:rsidRPr="00AB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A88" w:rsidRPr="00434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(мили, бонусы и т.д.), скидки</w:t>
      </w:r>
      <w:r w:rsidR="00781A88" w:rsidRPr="00AB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="00781A88" w:rsidRPr="00AB37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функция </w:t>
        </w:r>
        <w:proofErr w:type="spellStart"/>
        <w:r w:rsidR="00781A88" w:rsidRPr="00AB37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cash</w:t>
        </w:r>
        <w:proofErr w:type="spellEnd"/>
        <w:r w:rsidR="00781A88" w:rsidRPr="00AB37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781A88" w:rsidRPr="00AB37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back</w:t>
        </w:r>
        <w:proofErr w:type="spellEnd"/>
      </w:hyperlink>
      <w:r w:rsidR="00781A88" w:rsidRPr="00AB3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81A88" w:rsidRPr="00AB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1A88" w:rsidRPr="00434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др.;</w:t>
      </w:r>
      <w:r w:rsidR="008F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дают </w:t>
      </w:r>
      <w:r w:rsidR="00781A88" w:rsidRPr="00AB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со временем увеличить кредитн</w:t>
      </w:r>
      <w:r w:rsidR="00D0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лимит</w:t>
      </w:r>
      <w:r w:rsidR="008F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минусам кредитной карты можно отнести то, что </w:t>
      </w:r>
      <w:r w:rsidR="00781A88" w:rsidRPr="00434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нередко присутствуют дополнительные комиссии </w:t>
      </w:r>
      <w:r w:rsidR="00781A88" w:rsidRPr="00B31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10" w:history="1">
        <w:r w:rsidR="00781A88" w:rsidRPr="00B316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 снятие наличных</w:t>
        </w:r>
      </w:hyperlink>
      <w:r w:rsidR="00781A88" w:rsidRPr="00B31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1" w:history="1">
        <w:r w:rsidR="00781A88" w:rsidRPr="00B316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 обслуживание карты</w:t>
        </w:r>
      </w:hyperlink>
      <w:r w:rsidR="00781A88" w:rsidRPr="00B31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81A88" w:rsidRPr="00434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т.д.);</w:t>
      </w:r>
      <w:r w:rsidR="002C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A88" w:rsidRPr="00434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более высокая, чем по кредиту, процентная ставка;</w:t>
      </w:r>
      <w:r w:rsidR="002C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81A88" w:rsidRPr="00434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соблазн потратить больше, чем нужно.</w:t>
      </w:r>
    </w:p>
    <w:p w:rsidR="00E92FFD" w:rsidRDefault="00781A88" w:rsidP="00FE4087">
      <w:pPr>
        <w:shd w:val="clear" w:color="auto" w:fill="FFFFFF"/>
        <w:spacing w:after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6B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E9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 о том, что задолженность по карте необходимо погашать, деньгами по кредитной карте можно пользоваться только временно, клиент обязан их вернуть. Чем скорее будет выплачена задолженность по кредитной карте</w:t>
      </w:r>
      <w:r w:rsidR="00B0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тем дешевле обойдется эта услуга. Прежде чем открыть кредитную карту, необходимо сопоставить будущие выплаты по кредиту со своими доходами. </w:t>
      </w:r>
    </w:p>
    <w:p w:rsidR="00086441" w:rsidRDefault="00086441" w:rsidP="00FE4087">
      <w:pPr>
        <w:shd w:val="clear" w:color="auto" w:fill="FFFFFF"/>
        <w:spacing w:after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</w:t>
      </w:r>
      <w:r w:rsidR="009A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 статистика – на конец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России действовало более 267 млн. банковских карт, около 12 % из них – кредитные.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данным социологических исследований, кредитными картами пользуется около 21 % взрослого населения России. </w:t>
      </w:r>
    </w:p>
    <w:p w:rsidR="00221C38" w:rsidRDefault="00086441" w:rsidP="00FE4087">
      <w:pPr>
        <w:shd w:val="clear" w:color="auto" w:fill="FFFFFF"/>
        <w:spacing w:after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В отношении кредитных карт действуют все положения  Федерального закона от 21 декабря 2013 г. № 353 –ФЗ «О потребительском кредите (займе)».</w:t>
      </w:r>
    </w:p>
    <w:p w:rsidR="00221C38" w:rsidRPr="00221C38" w:rsidRDefault="00221C38" w:rsidP="00FE4087">
      <w:pPr>
        <w:shd w:val="clear" w:color="auto" w:fill="FFFFFF"/>
        <w:spacing w:after="18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38">
        <w:rPr>
          <w:rFonts w:ascii="Times New Roman" w:hAnsi="Times New Roman" w:cs="Times New Roman"/>
          <w:color w:val="000000"/>
          <w:sz w:val="24"/>
          <w:szCs w:val="24"/>
        </w:rPr>
        <w:t>При возникновении вопросов обращай</w:t>
      </w:r>
      <w:r w:rsidR="00DB4D8E">
        <w:rPr>
          <w:rFonts w:ascii="Times New Roman" w:hAnsi="Times New Roman" w:cs="Times New Roman"/>
          <w:color w:val="000000"/>
          <w:sz w:val="24"/>
          <w:szCs w:val="24"/>
        </w:rPr>
        <w:t xml:space="preserve">тесь в Консультационный центр для </w:t>
      </w:r>
      <w:r w:rsidRPr="00221C38">
        <w:rPr>
          <w:rFonts w:ascii="Times New Roman" w:hAnsi="Times New Roman" w:cs="Times New Roman"/>
          <w:color w:val="000000"/>
          <w:sz w:val="24"/>
          <w:szCs w:val="24"/>
        </w:rPr>
        <w:t xml:space="preserve"> потребителей </w:t>
      </w:r>
      <w:r w:rsidR="00A06058"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Pr="00221C38">
        <w:rPr>
          <w:rFonts w:ascii="Times New Roman" w:hAnsi="Times New Roman" w:cs="Times New Roman"/>
          <w:color w:val="000000"/>
          <w:sz w:val="24"/>
          <w:szCs w:val="24"/>
        </w:rPr>
        <w:t>ФБУЗ «Центр гигиены и эпидемиологии в Республике Бурятия</w:t>
      </w:r>
      <w:r w:rsidR="00A06058">
        <w:rPr>
          <w:rFonts w:ascii="Times New Roman" w:hAnsi="Times New Roman" w:cs="Times New Roman"/>
          <w:color w:val="000000"/>
          <w:sz w:val="24"/>
          <w:szCs w:val="24"/>
        </w:rPr>
        <w:t xml:space="preserve"> в Заиграевском районе</w:t>
      </w:r>
      <w:r w:rsidRPr="00221C38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r w:rsidR="00A06058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 w:rsidR="00A06058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="00A06058">
        <w:rPr>
          <w:rFonts w:ascii="Times New Roman" w:hAnsi="Times New Roman" w:cs="Times New Roman"/>
          <w:color w:val="000000"/>
          <w:sz w:val="24"/>
          <w:szCs w:val="24"/>
        </w:rPr>
        <w:t>аиграево, ул.Ленина,44. Телефон: 4-26-55; 4-17-33;</w:t>
      </w:r>
    </w:p>
    <w:p w:rsidR="00221C38" w:rsidRPr="00E92FFD" w:rsidRDefault="00221C38" w:rsidP="00847372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21C38" w:rsidRPr="00E92FFD" w:rsidSect="00980E1B">
      <w:pgSz w:w="16838" w:h="11906" w:orient="landscape"/>
      <w:pgMar w:top="1701" w:right="426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4B0D"/>
    <w:multiLevelType w:val="multilevel"/>
    <w:tmpl w:val="CF0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05792"/>
    <w:multiLevelType w:val="multilevel"/>
    <w:tmpl w:val="83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218"/>
    <w:rsid w:val="00086441"/>
    <w:rsid w:val="00091C79"/>
    <w:rsid w:val="000A264F"/>
    <w:rsid w:val="00110D61"/>
    <w:rsid w:val="00221C38"/>
    <w:rsid w:val="0022694F"/>
    <w:rsid w:val="00283698"/>
    <w:rsid w:val="002C036C"/>
    <w:rsid w:val="002C751E"/>
    <w:rsid w:val="003E40FB"/>
    <w:rsid w:val="00424111"/>
    <w:rsid w:val="00434FB7"/>
    <w:rsid w:val="00436EFB"/>
    <w:rsid w:val="00643638"/>
    <w:rsid w:val="00690133"/>
    <w:rsid w:val="006B400A"/>
    <w:rsid w:val="00705706"/>
    <w:rsid w:val="00740166"/>
    <w:rsid w:val="00781A88"/>
    <w:rsid w:val="007B4780"/>
    <w:rsid w:val="007C7B04"/>
    <w:rsid w:val="007D0829"/>
    <w:rsid w:val="00847372"/>
    <w:rsid w:val="008F3CA7"/>
    <w:rsid w:val="0091247C"/>
    <w:rsid w:val="00980E1B"/>
    <w:rsid w:val="009967B8"/>
    <w:rsid w:val="009A52F1"/>
    <w:rsid w:val="009B3FCF"/>
    <w:rsid w:val="009E4A38"/>
    <w:rsid w:val="00A06058"/>
    <w:rsid w:val="00A13D13"/>
    <w:rsid w:val="00A20D85"/>
    <w:rsid w:val="00AA6966"/>
    <w:rsid w:val="00AB37AC"/>
    <w:rsid w:val="00B031E4"/>
    <w:rsid w:val="00B071AC"/>
    <w:rsid w:val="00B316D7"/>
    <w:rsid w:val="00BF492B"/>
    <w:rsid w:val="00C10872"/>
    <w:rsid w:val="00C55927"/>
    <w:rsid w:val="00CC03D8"/>
    <w:rsid w:val="00CD5A3C"/>
    <w:rsid w:val="00D03585"/>
    <w:rsid w:val="00DB4D8E"/>
    <w:rsid w:val="00E92FFD"/>
    <w:rsid w:val="00F60A4F"/>
    <w:rsid w:val="00F91218"/>
    <w:rsid w:val="00FE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6C"/>
  </w:style>
  <w:style w:type="paragraph" w:styleId="3">
    <w:name w:val="heading 3"/>
    <w:basedOn w:val="a"/>
    <w:link w:val="30"/>
    <w:uiPriority w:val="9"/>
    <w:qFormat/>
    <w:rsid w:val="00781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A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88"/>
    <w:rPr>
      <w:b/>
      <w:bCs/>
    </w:rPr>
  </w:style>
  <w:style w:type="character" w:styleId="a5">
    <w:name w:val="Hyperlink"/>
    <w:basedOn w:val="a0"/>
    <w:uiPriority w:val="99"/>
    <w:semiHidden/>
    <w:unhideWhenUsed/>
    <w:rsid w:val="00781A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945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it-card.ru/articles/choice-cards/cobranding-card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dit-card.ru/articles/other/srok-deystviya-kar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dit-card.ru/articles/other/nomer-scheta-karti.php" TargetMode="External"/><Relationship Id="rId11" Type="http://schemas.openxmlformats.org/officeDocument/2006/relationships/hyperlink" Target="https://credit-card.ru/articles/using-cards/plata-za-obsluzhivanie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redit-card.ru/articles/using-cards/komissia-nalichnie-bankoma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dit-card.ru/articles/choice-cards/cash-back-card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</dc:creator>
  <cp:lastModifiedBy>oem</cp:lastModifiedBy>
  <cp:revision>2</cp:revision>
  <cp:lastPrinted>2023-12-05T09:14:00Z</cp:lastPrinted>
  <dcterms:created xsi:type="dcterms:W3CDTF">2023-12-05T09:14:00Z</dcterms:created>
  <dcterms:modified xsi:type="dcterms:W3CDTF">2023-12-05T09:14:00Z</dcterms:modified>
</cp:coreProperties>
</file>